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7E" w:rsidRPr="005E497E" w:rsidRDefault="005E497E" w:rsidP="005E497E">
      <w:pPr>
        <w:keepNext/>
        <w:keepLines/>
        <w:widowControl/>
        <w:autoSpaceDE/>
        <w:autoSpaceDN/>
        <w:adjustRightInd/>
        <w:spacing w:before="40" w:line="259" w:lineRule="auto"/>
        <w:ind w:left="708"/>
        <w:jc w:val="center"/>
        <w:outlineLvl w:val="1"/>
        <w:rPr>
          <w:b/>
          <w:bCs/>
          <w:color w:val="000000" w:themeColor="text1"/>
          <w:sz w:val="26"/>
          <w:szCs w:val="26"/>
          <w:lang w:eastAsia="en-US"/>
        </w:rPr>
      </w:pPr>
      <w:r w:rsidRPr="005E497E">
        <w:rPr>
          <w:b/>
          <w:bCs/>
          <w:color w:val="000000" w:themeColor="text1"/>
          <w:sz w:val="26"/>
          <w:szCs w:val="26"/>
          <w:lang w:eastAsia="en-US"/>
        </w:rPr>
        <w:t>Organizační struktura Magistrátu města Liberec</w:t>
      </w:r>
    </w:p>
    <w:p w:rsidR="005E497E" w:rsidRPr="005E497E" w:rsidRDefault="005E497E" w:rsidP="005E497E">
      <w:pPr>
        <w:keepNext/>
        <w:keepLines/>
        <w:widowControl/>
        <w:autoSpaceDE/>
        <w:autoSpaceDN/>
        <w:adjustRightInd/>
        <w:spacing w:before="40" w:line="259" w:lineRule="auto"/>
        <w:ind w:left="708"/>
        <w:jc w:val="center"/>
        <w:outlineLvl w:val="1"/>
        <w:rPr>
          <w:b/>
          <w:bCs/>
          <w:color w:val="000000" w:themeColor="text1"/>
          <w:sz w:val="26"/>
          <w:szCs w:val="26"/>
          <w:lang w:eastAsia="en-US"/>
        </w:rPr>
      </w:pPr>
      <w:r w:rsidRPr="005E497E">
        <w:rPr>
          <w:b/>
          <w:bCs/>
          <w:color w:val="000000" w:themeColor="text1"/>
          <w:sz w:val="26"/>
          <w:szCs w:val="26"/>
          <w:lang w:eastAsia="en-US"/>
        </w:rPr>
        <w:t>a vymezení garantů odborů v členění na jednotlivá oddělení</w:t>
      </w:r>
    </w:p>
    <w:p w:rsid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708"/>
        <w:outlineLvl w:val="1"/>
        <w:rPr>
          <w:sz w:val="26"/>
          <w:szCs w:val="26"/>
          <w:lang w:eastAsia="en-US"/>
        </w:rPr>
      </w:pPr>
      <w:r w:rsidRPr="007F3790">
        <w:rPr>
          <w:sz w:val="26"/>
          <w:szCs w:val="26"/>
        </w:rPr>
        <w:t>Garant oblasti</w:t>
      </w:r>
      <w:r w:rsidRPr="007F3790">
        <w:rPr>
          <w:sz w:val="26"/>
          <w:szCs w:val="26"/>
          <w:lang w:eastAsia="en-US"/>
        </w:rPr>
        <w:t xml:space="preserve"> </w:t>
      </w:r>
      <w:r w:rsidRPr="007F3790">
        <w:rPr>
          <w:sz w:val="26"/>
          <w:szCs w:val="26"/>
          <w:lang w:eastAsia="en-US"/>
        </w:rPr>
        <w:tab/>
      </w:r>
    </w:p>
    <w:p w:rsidR="007F3790" w:rsidRDefault="007F3790" w:rsidP="00E215BA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sz w:val="26"/>
          <w:szCs w:val="26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Odbor</w:t>
      </w:r>
      <w:r w:rsidRPr="007F3790">
        <w:rPr>
          <w:sz w:val="26"/>
          <w:szCs w:val="26"/>
          <w:lang w:eastAsia="en-US"/>
        </w:rPr>
        <w:tab/>
      </w:r>
      <w:r w:rsidRPr="007F3790">
        <w:rPr>
          <w:sz w:val="26"/>
          <w:szCs w:val="26"/>
          <w:lang w:eastAsia="en-US"/>
        </w:rPr>
        <w:tab/>
      </w:r>
    </w:p>
    <w:p w:rsidR="007F3790" w:rsidRPr="007F3790" w:rsidRDefault="007F3790" w:rsidP="00E215BA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708"/>
        <w:outlineLvl w:val="1"/>
        <w:rPr>
          <w:sz w:val="26"/>
          <w:szCs w:val="26"/>
        </w:rPr>
      </w:pPr>
      <w:r w:rsidRPr="007F3790">
        <w:rPr>
          <w:sz w:val="26"/>
          <w:szCs w:val="26"/>
        </w:rPr>
        <w:t xml:space="preserve">Primátor 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Odbor kontroly a interního auditu (KA)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Kancelář primátora (KP)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sekretariát primátora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tiskové a vnějších vztahů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protokolu a zahraničních věcí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Odbor právní a veřejných zakázek (PR)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právní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veřejných zakázek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Odbor ekonomiky (OE)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rozpočtu a financování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informační soustavy a daní</w:t>
      </w:r>
      <w:r w:rsidRPr="007F3790">
        <w:rPr>
          <w:sz w:val="22"/>
          <w:szCs w:val="22"/>
          <w:lang w:eastAsia="en-US"/>
        </w:rPr>
        <w:tab/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poplatků a pohledávek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708"/>
        <w:outlineLvl w:val="1"/>
        <w:rPr>
          <w:sz w:val="26"/>
          <w:szCs w:val="26"/>
        </w:rPr>
      </w:pPr>
      <w:r w:rsidRPr="007F3790">
        <w:rPr>
          <w:sz w:val="26"/>
          <w:szCs w:val="26"/>
        </w:rPr>
        <w:t xml:space="preserve">Náměstek primátora pro strategický rozvoj a dotace 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Odbor strategického rozvoje a dotací (SR)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rozvojové koncepce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</w:rPr>
      </w:pPr>
      <w:r w:rsidRPr="007F3790">
        <w:rPr>
          <w:sz w:val="22"/>
          <w:szCs w:val="22"/>
          <w:lang w:eastAsia="en-US"/>
        </w:rPr>
        <w:t>Oddělení administrace projektů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708"/>
        <w:outlineLvl w:val="1"/>
        <w:rPr>
          <w:sz w:val="26"/>
          <w:szCs w:val="26"/>
        </w:rPr>
      </w:pPr>
      <w:r w:rsidRPr="007F3790">
        <w:rPr>
          <w:sz w:val="26"/>
          <w:szCs w:val="26"/>
        </w:rPr>
        <w:t>Náměstek primátora pro architekturu, veřejný prostor a dopravní stavby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Kancelář architektury města (AM)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 xml:space="preserve">Odbor ekologie a veřejného prostoru (EP) 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Odbor dopravních staveb (DS)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investic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spolupráce s developery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708"/>
        <w:outlineLvl w:val="1"/>
        <w:rPr>
          <w:sz w:val="26"/>
          <w:szCs w:val="26"/>
        </w:rPr>
      </w:pPr>
      <w:r w:rsidRPr="007F3790">
        <w:rPr>
          <w:sz w:val="26"/>
          <w:szCs w:val="26"/>
        </w:rPr>
        <w:t>Náměstek primátora pro kulturu, školství a cestovní ruch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Odbor kultury, školství a cestovního ruchu (KS)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školství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kultury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cestovního ruchu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708"/>
        <w:outlineLvl w:val="1"/>
        <w:rPr>
          <w:sz w:val="26"/>
          <w:szCs w:val="26"/>
        </w:rPr>
      </w:pPr>
      <w:r w:rsidRPr="007F3790">
        <w:rPr>
          <w:sz w:val="26"/>
          <w:szCs w:val="26"/>
        </w:rPr>
        <w:t>Náměstek primátora pro technickou správu a informační technologie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Odbor správy veřejného majetku (SM)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technické správy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komunálních služeb</w:t>
      </w:r>
      <w:r w:rsidRPr="007F3790">
        <w:rPr>
          <w:sz w:val="22"/>
          <w:szCs w:val="22"/>
          <w:lang w:eastAsia="en-US"/>
        </w:rPr>
        <w:tab/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708"/>
        <w:outlineLvl w:val="1"/>
        <w:rPr>
          <w:sz w:val="26"/>
          <w:szCs w:val="26"/>
        </w:rPr>
      </w:pPr>
      <w:r w:rsidRPr="007F3790">
        <w:rPr>
          <w:sz w:val="26"/>
          <w:szCs w:val="26"/>
        </w:rPr>
        <w:t>Náměstek primátora pro územní plánování a majetkoprávní záležitosti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Odbor územního plánování (UP)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úřadu územního plánování</w:t>
      </w:r>
      <w:r w:rsidRPr="007F3790">
        <w:rPr>
          <w:sz w:val="22"/>
          <w:szCs w:val="22"/>
          <w:lang w:eastAsia="en-US"/>
        </w:rPr>
        <w:tab/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ÚAP a GIS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samosprávných vyjadřování a majetkových dispozic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708"/>
        <w:outlineLvl w:val="1"/>
        <w:rPr>
          <w:sz w:val="26"/>
          <w:szCs w:val="26"/>
        </w:rPr>
      </w:pPr>
      <w:r w:rsidRPr="007F3790">
        <w:rPr>
          <w:sz w:val="26"/>
          <w:szCs w:val="26"/>
        </w:rPr>
        <w:t>Náměstek primátora pro majetkovou správu, sport a sportovní infrastrukturu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Odbor majetkové správy a sportu (MS)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sportu a majetkové evidence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lastRenderedPageBreak/>
        <w:t>Oddělení technické správy budov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správy sportovních objektů</w:t>
      </w:r>
      <w:r w:rsidRPr="007F3790">
        <w:rPr>
          <w:sz w:val="22"/>
          <w:szCs w:val="22"/>
          <w:lang w:eastAsia="en-US"/>
        </w:rPr>
        <w:tab/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708"/>
        <w:outlineLvl w:val="1"/>
        <w:rPr>
          <w:sz w:val="26"/>
          <w:szCs w:val="26"/>
        </w:rPr>
      </w:pPr>
      <w:r w:rsidRPr="007F3790">
        <w:rPr>
          <w:sz w:val="26"/>
          <w:szCs w:val="26"/>
        </w:rPr>
        <w:t>Náměstek primátora pro sociální záležitosti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trike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Odbor sociální a bytové politiky (SB)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708"/>
        <w:outlineLvl w:val="1"/>
        <w:rPr>
          <w:sz w:val="26"/>
          <w:szCs w:val="26"/>
        </w:rPr>
      </w:pPr>
      <w:r w:rsidRPr="007F3790">
        <w:rPr>
          <w:sz w:val="26"/>
          <w:szCs w:val="26"/>
        </w:rPr>
        <w:t xml:space="preserve">Náměstek primátora pro městské bydlení a místní Agendu 21 </w:t>
      </w:r>
    </w:p>
    <w:p w:rsidR="007F3790" w:rsidRPr="007F3790" w:rsidRDefault="007F3790" w:rsidP="007F3790">
      <w:pPr>
        <w:widowControl/>
        <w:autoSpaceDE/>
        <w:autoSpaceDN/>
        <w:adjustRightInd/>
        <w:spacing w:after="160" w:line="259" w:lineRule="auto"/>
        <w:rPr>
          <w:rFonts w:eastAsia="Calibri"/>
          <w:sz w:val="22"/>
          <w:szCs w:val="22"/>
        </w:rPr>
      </w:pP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708"/>
        <w:outlineLvl w:val="1"/>
        <w:rPr>
          <w:sz w:val="26"/>
          <w:szCs w:val="26"/>
          <w:lang w:eastAsia="en-US"/>
        </w:rPr>
      </w:pPr>
      <w:r w:rsidRPr="007F3790">
        <w:rPr>
          <w:sz w:val="26"/>
          <w:szCs w:val="26"/>
          <w:lang w:eastAsia="en-US"/>
        </w:rPr>
        <w:t>Tajemník magistrátu (TA)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personální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Odbor vnitřních věcí (VV)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komunikace a informací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informatiky a řízení procesů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krizového řízení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</w:t>
      </w:r>
      <w:r w:rsidR="00F66CD5">
        <w:rPr>
          <w:sz w:val="22"/>
          <w:szCs w:val="22"/>
          <w:lang w:eastAsia="en-US"/>
        </w:rPr>
        <w:t xml:space="preserve"> o</w:t>
      </w:r>
      <w:bookmarkStart w:id="0" w:name="_GoBack"/>
      <w:bookmarkEnd w:id="0"/>
      <w:r w:rsidR="00F66CD5">
        <w:rPr>
          <w:sz w:val="22"/>
          <w:szCs w:val="22"/>
          <w:lang w:eastAsia="en-US"/>
        </w:rPr>
        <w:t>rganizační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Stavební úřad (SU)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územního řízení a stavebního řádu</w:t>
      </w:r>
      <w:r w:rsidRPr="007F3790">
        <w:rPr>
          <w:sz w:val="22"/>
          <w:szCs w:val="22"/>
          <w:lang w:eastAsia="en-US"/>
        </w:rPr>
        <w:tab/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státního stavebního dozoru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Odbor životního prostředí (ZP)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ochrany přírody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odpadů a ovzduší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Vodoprávní úřad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památkové péče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Odbor správní a živnostenský (SP)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matriky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správních činností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přestupků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Živnostenský úřad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Odbor sociální péče (SO)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sociálně-právní ochrany dětí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kurátorské činnosti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sociálních činností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2832"/>
        <w:outlineLvl w:val="3"/>
        <w:rPr>
          <w:i/>
          <w:iCs/>
          <w:sz w:val="22"/>
          <w:szCs w:val="22"/>
          <w:lang w:eastAsia="en-US"/>
        </w:rPr>
      </w:pPr>
      <w:r w:rsidRPr="007F3790">
        <w:rPr>
          <w:i/>
          <w:iCs/>
          <w:sz w:val="22"/>
          <w:szCs w:val="22"/>
          <w:lang w:eastAsia="en-US"/>
        </w:rPr>
        <w:t>Odbor dopravně správních agend (OD)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silniční a dopravní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registrace řidičů</w:t>
      </w:r>
    </w:p>
    <w:p w:rsidR="007F3790" w:rsidRPr="007F3790" w:rsidRDefault="007F3790" w:rsidP="007F3790">
      <w:pPr>
        <w:keepNext/>
        <w:keepLines/>
        <w:widowControl/>
        <w:autoSpaceDE/>
        <w:autoSpaceDN/>
        <w:adjustRightInd/>
        <w:spacing w:before="40" w:line="259" w:lineRule="auto"/>
        <w:ind w:left="3540"/>
        <w:outlineLvl w:val="4"/>
        <w:rPr>
          <w:sz w:val="22"/>
          <w:szCs w:val="22"/>
          <w:lang w:eastAsia="en-US"/>
        </w:rPr>
      </w:pPr>
      <w:r w:rsidRPr="007F3790">
        <w:rPr>
          <w:sz w:val="22"/>
          <w:szCs w:val="22"/>
          <w:lang w:eastAsia="en-US"/>
        </w:rPr>
        <w:t>Oddělení registru vozidel</w:t>
      </w:r>
    </w:p>
    <w:p w:rsidR="005E497E" w:rsidRPr="005E497E" w:rsidRDefault="005E497E" w:rsidP="005E497E">
      <w:pPr>
        <w:keepNext/>
        <w:keepLines/>
        <w:widowControl/>
        <w:autoSpaceDE/>
        <w:autoSpaceDN/>
        <w:adjustRightInd/>
        <w:spacing w:before="40" w:line="259" w:lineRule="auto"/>
        <w:ind w:left="708"/>
        <w:outlineLvl w:val="1"/>
        <w:rPr>
          <w:color w:val="000000" w:themeColor="text1"/>
          <w:sz w:val="26"/>
          <w:szCs w:val="26"/>
          <w:lang w:eastAsia="en-US"/>
        </w:rPr>
      </w:pPr>
    </w:p>
    <w:sectPr w:rsidR="005E497E" w:rsidRPr="005E497E" w:rsidSect="005E497E">
      <w:headerReference w:type="default" r:id="rId6"/>
      <w:footerReference w:type="default" r:id="rId7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1C" w:rsidRDefault="00CE581C" w:rsidP="0075458A">
      <w:r>
        <w:separator/>
      </w:r>
    </w:p>
  </w:endnote>
  <w:endnote w:type="continuationSeparator" w:id="0">
    <w:p w:rsidR="00CE581C" w:rsidRDefault="00CE581C" w:rsidP="0075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EF" w:rsidRPr="00CB71DE" w:rsidRDefault="00CB71D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84738C">
      <w:rPr>
        <w:sz w:val="20"/>
        <w:szCs w:val="20"/>
      </w:rPr>
      <w:t xml:space="preserve">Účinnost </w:t>
    </w:r>
    <w:r w:rsidR="00E8254E" w:rsidRPr="0084738C">
      <w:rPr>
        <w:sz w:val="20"/>
        <w:szCs w:val="20"/>
      </w:rPr>
      <w:t>této</w:t>
    </w:r>
    <w:r w:rsidR="00FA4BF0" w:rsidRPr="0084738C">
      <w:rPr>
        <w:sz w:val="20"/>
        <w:szCs w:val="20"/>
      </w:rPr>
      <w:t xml:space="preserve"> verze </w:t>
    </w:r>
    <w:r w:rsidRPr="0084738C">
      <w:rPr>
        <w:sz w:val="20"/>
        <w:szCs w:val="20"/>
      </w:rPr>
      <w:t xml:space="preserve">od </w:t>
    </w:r>
    <w:r w:rsidR="003F758B" w:rsidRPr="0084738C">
      <w:rPr>
        <w:sz w:val="20"/>
        <w:szCs w:val="20"/>
      </w:rPr>
      <w:t>1</w:t>
    </w:r>
    <w:r w:rsidRPr="0084738C">
      <w:rPr>
        <w:sz w:val="20"/>
        <w:szCs w:val="20"/>
      </w:rPr>
      <w:t>.</w:t>
    </w:r>
    <w:r w:rsidR="00971B77" w:rsidRPr="0084738C">
      <w:rPr>
        <w:sz w:val="20"/>
        <w:szCs w:val="20"/>
      </w:rPr>
      <w:t xml:space="preserve"> </w:t>
    </w:r>
    <w:r w:rsidR="00EB4DAC">
      <w:rPr>
        <w:sz w:val="20"/>
        <w:szCs w:val="20"/>
      </w:rPr>
      <w:t>1</w:t>
    </w:r>
    <w:r w:rsidRPr="0084738C">
      <w:rPr>
        <w:sz w:val="20"/>
        <w:szCs w:val="20"/>
      </w:rPr>
      <w:t>.</w:t>
    </w:r>
    <w:r w:rsidR="00971B77" w:rsidRPr="0084738C">
      <w:rPr>
        <w:sz w:val="20"/>
        <w:szCs w:val="20"/>
      </w:rPr>
      <w:t xml:space="preserve"> </w:t>
    </w:r>
    <w:r w:rsidR="00EB4DAC" w:rsidRPr="0084738C">
      <w:rPr>
        <w:sz w:val="20"/>
        <w:szCs w:val="20"/>
      </w:rPr>
      <w:t>202</w:t>
    </w:r>
    <w:r w:rsidR="00EB4DAC">
      <w:rPr>
        <w:sz w:val="20"/>
        <w:szCs w:val="20"/>
      </w:rPr>
      <w:t>3</w:t>
    </w:r>
    <w:r w:rsidR="00EB4DAC" w:rsidRPr="0084738C">
      <w:rPr>
        <w:sz w:val="20"/>
        <w:szCs w:val="20"/>
      </w:rPr>
      <w:ptab w:relativeTo="margin" w:alignment="center" w:leader="none"/>
    </w:r>
    <w:r w:rsidR="00EB4DAC" w:rsidRPr="0084738C">
      <w:rPr>
        <w:sz w:val="20"/>
        <w:szCs w:val="20"/>
      </w:rPr>
      <w:ptab w:relativeTo="margin" w:alignment="right" w:leader="none"/>
    </w:r>
    <w:r w:rsidR="00C039DE" w:rsidRPr="00C039DE">
      <w:rPr>
        <w:sz w:val="20"/>
        <w:szCs w:val="20"/>
      </w:rPr>
      <w:t xml:space="preserve">Stránka </w:t>
    </w:r>
    <w:r w:rsidR="00C039DE" w:rsidRPr="00C039DE">
      <w:rPr>
        <w:b/>
        <w:bCs/>
        <w:sz w:val="20"/>
        <w:szCs w:val="20"/>
      </w:rPr>
      <w:fldChar w:fldCharType="begin"/>
    </w:r>
    <w:r w:rsidR="00C039DE" w:rsidRPr="00C039DE">
      <w:rPr>
        <w:b/>
        <w:bCs/>
        <w:sz w:val="20"/>
        <w:szCs w:val="20"/>
      </w:rPr>
      <w:instrText>PAGE  \* Arabic  \* MERGEFORMAT</w:instrText>
    </w:r>
    <w:r w:rsidR="00C039DE" w:rsidRPr="00C039DE">
      <w:rPr>
        <w:b/>
        <w:bCs/>
        <w:sz w:val="20"/>
        <w:szCs w:val="20"/>
      </w:rPr>
      <w:fldChar w:fldCharType="separate"/>
    </w:r>
    <w:r w:rsidR="00B528AD">
      <w:rPr>
        <w:b/>
        <w:bCs/>
        <w:noProof/>
        <w:sz w:val="20"/>
        <w:szCs w:val="20"/>
      </w:rPr>
      <w:t>2</w:t>
    </w:r>
    <w:r w:rsidR="00C039DE" w:rsidRPr="00C039DE">
      <w:rPr>
        <w:b/>
        <w:bCs/>
        <w:sz w:val="20"/>
        <w:szCs w:val="20"/>
      </w:rPr>
      <w:fldChar w:fldCharType="end"/>
    </w:r>
    <w:r w:rsidR="00C039DE" w:rsidRPr="00C039DE">
      <w:rPr>
        <w:sz w:val="20"/>
        <w:szCs w:val="20"/>
      </w:rPr>
      <w:t xml:space="preserve"> z </w:t>
    </w:r>
    <w:r w:rsidR="00C039DE" w:rsidRPr="00C039DE">
      <w:rPr>
        <w:b/>
        <w:bCs/>
        <w:sz w:val="20"/>
        <w:szCs w:val="20"/>
      </w:rPr>
      <w:fldChar w:fldCharType="begin"/>
    </w:r>
    <w:r w:rsidR="00C039DE" w:rsidRPr="00C039DE">
      <w:rPr>
        <w:b/>
        <w:bCs/>
        <w:sz w:val="20"/>
        <w:szCs w:val="20"/>
      </w:rPr>
      <w:instrText>NUMPAGES  \* Arabic  \* MERGEFORMAT</w:instrText>
    </w:r>
    <w:r w:rsidR="00C039DE" w:rsidRPr="00C039DE">
      <w:rPr>
        <w:b/>
        <w:bCs/>
        <w:sz w:val="20"/>
        <w:szCs w:val="20"/>
      </w:rPr>
      <w:fldChar w:fldCharType="separate"/>
    </w:r>
    <w:r w:rsidR="00B528AD">
      <w:rPr>
        <w:b/>
        <w:bCs/>
        <w:noProof/>
        <w:sz w:val="20"/>
        <w:szCs w:val="20"/>
      </w:rPr>
      <w:t>2</w:t>
    </w:r>
    <w:r w:rsidR="00C039DE" w:rsidRPr="00C039D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1C" w:rsidRDefault="00CE581C" w:rsidP="0075458A">
      <w:r>
        <w:separator/>
      </w:r>
    </w:p>
  </w:footnote>
  <w:footnote w:type="continuationSeparator" w:id="0">
    <w:p w:rsidR="00CE581C" w:rsidRDefault="00CE581C" w:rsidP="0075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7E" w:rsidRPr="0084738C" w:rsidRDefault="001F34B9" w:rsidP="005E497E">
    <w:pPr>
      <w:pStyle w:val="Zhlav"/>
      <w:rPr>
        <w:sz w:val="20"/>
        <w:szCs w:val="20"/>
      </w:rPr>
    </w:pPr>
    <w:r w:rsidRPr="0084738C">
      <w:rPr>
        <w:sz w:val="20"/>
        <w:szCs w:val="20"/>
      </w:rPr>
      <w:t>statutární město Liberec</w:t>
    </w:r>
    <w:r w:rsidR="00CA1902" w:rsidRPr="0084738C">
      <w:rPr>
        <w:sz w:val="20"/>
        <w:szCs w:val="20"/>
      </w:rPr>
      <w:tab/>
    </w:r>
    <w:r w:rsidR="00CA1902" w:rsidRPr="0084738C">
      <w:rPr>
        <w:sz w:val="20"/>
        <w:szCs w:val="20"/>
      </w:rPr>
      <w:tab/>
      <w:t>Příloha č. 1 směrnice 1RM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6CB"/>
    <w:rsid w:val="0000490E"/>
    <w:rsid w:val="00007046"/>
    <w:rsid w:val="00016824"/>
    <w:rsid w:val="00016CB6"/>
    <w:rsid w:val="000301F5"/>
    <w:rsid w:val="00042474"/>
    <w:rsid w:val="000437E9"/>
    <w:rsid w:val="00082052"/>
    <w:rsid w:val="000A4F83"/>
    <w:rsid w:val="000B2DBB"/>
    <w:rsid w:val="000C6210"/>
    <w:rsid w:val="000D042D"/>
    <w:rsid w:val="000D22C8"/>
    <w:rsid w:val="000E406B"/>
    <w:rsid w:val="000F34FA"/>
    <w:rsid w:val="00100395"/>
    <w:rsid w:val="0010541D"/>
    <w:rsid w:val="001060BC"/>
    <w:rsid w:val="001360CF"/>
    <w:rsid w:val="00151071"/>
    <w:rsid w:val="0015312D"/>
    <w:rsid w:val="0018730B"/>
    <w:rsid w:val="001A409B"/>
    <w:rsid w:val="001A5D65"/>
    <w:rsid w:val="001C2A97"/>
    <w:rsid w:val="001E20A0"/>
    <w:rsid w:val="001F34B9"/>
    <w:rsid w:val="00245D51"/>
    <w:rsid w:val="00263AA8"/>
    <w:rsid w:val="002679B5"/>
    <w:rsid w:val="00274BCE"/>
    <w:rsid w:val="002A49CF"/>
    <w:rsid w:val="002B1BC7"/>
    <w:rsid w:val="002B2323"/>
    <w:rsid w:val="002B50A8"/>
    <w:rsid w:val="002B6CC7"/>
    <w:rsid w:val="002C3B4E"/>
    <w:rsid w:val="002C6C63"/>
    <w:rsid w:val="002D3528"/>
    <w:rsid w:val="002F562B"/>
    <w:rsid w:val="00304192"/>
    <w:rsid w:val="00363DB6"/>
    <w:rsid w:val="003919F0"/>
    <w:rsid w:val="003A284E"/>
    <w:rsid w:val="003B2CAB"/>
    <w:rsid w:val="003B7EF2"/>
    <w:rsid w:val="003C7085"/>
    <w:rsid w:val="003D01EF"/>
    <w:rsid w:val="003D137E"/>
    <w:rsid w:val="003D1426"/>
    <w:rsid w:val="003E7B1E"/>
    <w:rsid w:val="003F18F8"/>
    <w:rsid w:val="003F5A36"/>
    <w:rsid w:val="003F758B"/>
    <w:rsid w:val="00403B81"/>
    <w:rsid w:val="00421C74"/>
    <w:rsid w:val="004230E8"/>
    <w:rsid w:val="00432621"/>
    <w:rsid w:val="004357B8"/>
    <w:rsid w:val="00472835"/>
    <w:rsid w:val="00474BAF"/>
    <w:rsid w:val="004956CB"/>
    <w:rsid w:val="004A2B8D"/>
    <w:rsid w:val="00503631"/>
    <w:rsid w:val="005169D1"/>
    <w:rsid w:val="00531290"/>
    <w:rsid w:val="00531465"/>
    <w:rsid w:val="00563B1C"/>
    <w:rsid w:val="0058575E"/>
    <w:rsid w:val="00591ED7"/>
    <w:rsid w:val="005A0966"/>
    <w:rsid w:val="005A7109"/>
    <w:rsid w:val="005C1B8B"/>
    <w:rsid w:val="005C3AE6"/>
    <w:rsid w:val="005E497E"/>
    <w:rsid w:val="005F3370"/>
    <w:rsid w:val="00606947"/>
    <w:rsid w:val="00615450"/>
    <w:rsid w:val="00617717"/>
    <w:rsid w:val="00617C39"/>
    <w:rsid w:val="006226CD"/>
    <w:rsid w:val="00626D29"/>
    <w:rsid w:val="006271D9"/>
    <w:rsid w:val="00673763"/>
    <w:rsid w:val="006838FE"/>
    <w:rsid w:val="00687896"/>
    <w:rsid w:val="006A6D56"/>
    <w:rsid w:val="006B488B"/>
    <w:rsid w:val="006E18DF"/>
    <w:rsid w:val="00724FEF"/>
    <w:rsid w:val="00726E72"/>
    <w:rsid w:val="00750526"/>
    <w:rsid w:val="0075458A"/>
    <w:rsid w:val="0076662F"/>
    <w:rsid w:val="007712C2"/>
    <w:rsid w:val="00776A8D"/>
    <w:rsid w:val="00787A9B"/>
    <w:rsid w:val="007903B3"/>
    <w:rsid w:val="007A28D4"/>
    <w:rsid w:val="007A43CB"/>
    <w:rsid w:val="007D0E1B"/>
    <w:rsid w:val="007D2A86"/>
    <w:rsid w:val="007F3790"/>
    <w:rsid w:val="0082086F"/>
    <w:rsid w:val="0084451D"/>
    <w:rsid w:val="0084738C"/>
    <w:rsid w:val="00867D4B"/>
    <w:rsid w:val="00870088"/>
    <w:rsid w:val="00872F38"/>
    <w:rsid w:val="008765D4"/>
    <w:rsid w:val="008D6C15"/>
    <w:rsid w:val="008D7839"/>
    <w:rsid w:val="008E2D39"/>
    <w:rsid w:val="008F0456"/>
    <w:rsid w:val="00910ABF"/>
    <w:rsid w:val="0091132B"/>
    <w:rsid w:val="00955225"/>
    <w:rsid w:val="00961808"/>
    <w:rsid w:val="00963D7E"/>
    <w:rsid w:val="00971B77"/>
    <w:rsid w:val="00984057"/>
    <w:rsid w:val="009D52D7"/>
    <w:rsid w:val="009E0B30"/>
    <w:rsid w:val="00A02663"/>
    <w:rsid w:val="00A10787"/>
    <w:rsid w:val="00A33500"/>
    <w:rsid w:val="00A46588"/>
    <w:rsid w:val="00A53B1A"/>
    <w:rsid w:val="00A53F60"/>
    <w:rsid w:val="00A54CC9"/>
    <w:rsid w:val="00A65EF8"/>
    <w:rsid w:val="00A66BDD"/>
    <w:rsid w:val="00A741DB"/>
    <w:rsid w:val="00A77B92"/>
    <w:rsid w:val="00A92406"/>
    <w:rsid w:val="00A972A3"/>
    <w:rsid w:val="00A97D49"/>
    <w:rsid w:val="00AE041D"/>
    <w:rsid w:val="00B0050F"/>
    <w:rsid w:val="00B30280"/>
    <w:rsid w:val="00B33862"/>
    <w:rsid w:val="00B528AD"/>
    <w:rsid w:val="00B9271A"/>
    <w:rsid w:val="00BA61C1"/>
    <w:rsid w:val="00BD2880"/>
    <w:rsid w:val="00BE3A69"/>
    <w:rsid w:val="00C039DE"/>
    <w:rsid w:val="00C149DF"/>
    <w:rsid w:val="00C22F54"/>
    <w:rsid w:val="00C255AD"/>
    <w:rsid w:val="00C37BE4"/>
    <w:rsid w:val="00C45C21"/>
    <w:rsid w:val="00C95707"/>
    <w:rsid w:val="00CA1902"/>
    <w:rsid w:val="00CB71DE"/>
    <w:rsid w:val="00CD737A"/>
    <w:rsid w:val="00CE581C"/>
    <w:rsid w:val="00D17943"/>
    <w:rsid w:val="00D226A9"/>
    <w:rsid w:val="00D3308C"/>
    <w:rsid w:val="00D51821"/>
    <w:rsid w:val="00D563FC"/>
    <w:rsid w:val="00D5691E"/>
    <w:rsid w:val="00D65161"/>
    <w:rsid w:val="00D71CBA"/>
    <w:rsid w:val="00D85F71"/>
    <w:rsid w:val="00DA27B6"/>
    <w:rsid w:val="00DB1CED"/>
    <w:rsid w:val="00DB5AFC"/>
    <w:rsid w:val="00DB60C8"/>
    <w:rsid w:val="00DC17AD"/>
    <w:rsid w:val="00DC3A28"/>
    <w:rsid w:val="00DE77E5"/>
    <w:rsid w:val="00E215BA"/>
    <w:rsid w:val="00E5349C"/>
    <w:rsid w:val="00E54CA7"/>
    <w:rsid w:val="00E570F7"/>
    <w:rsid w:val="00E8254E"/>
    <w:rsid w:val="00EA73BF"/>
    <w:rsid w:val="00EB2D56"/>
    <w:rsid w:val="00EB4DAC"/>
    <w:rsid w:val="00ED3FA2"/>
    <w:rsid w:val="00ED5669"/>
    <w:rsid w:val="00EF037F"/>
    <w:rsid w:val="00F03EA2"/>
    <w:rsid w:val="00F05376"/>
    <w:rsid w:val="00F05B6F"/>
    <w:rsid w:val="00F0671E"/>
    <w:rsid w:val="00F15D57"/>
    <w:rsid w:val="00F16320"/>
    <w:rsid w:val="00F22A76"/>
    <w:rsid w:val="00F27C05"/>
    <w:rsid w:val="00F404F7"/>
    <w:rsid w:val="00F41CD8"/>
    <w:rsid w:val="00F46449"/>
    <w:rsid w:val="00F50319"/>
    <w:rsid w:val="00F544B9"/>
    <w:rsid w:val="00F66CD5"/>
    <w:rsid w:val="00FA19D6"/>
    <w:rsid w:val="00FA4BF0"/>
    <w:rsid w:val="00FA5BD1"/>
    <w:rsid w:val="00FB56ED"/>
    <w:rsid w:val="00FB64AB"/>
    <w:rsid w:val="00FB733C"/>
    <w:rsid w:val="00FD12A5"/>
    <w:rsid w:val="00FD4CA1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0F8A7"/>
  <w15:docId w15:val="{F29FF7ED-8D63-4D48-936B-30E533E0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956CB"/>
    <w:pPr>
      <w:keepNext/>
      <w:tabs>
        <w:tab w:val="left" w:pos="5184"/>
      </w:tabs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4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956CB"/>
    <w:pPr>
      <w:keepNext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4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4D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956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956CB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2A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4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5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5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4D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4DA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B4D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Polmanová Jaroslava</dc:creator>
  <cp:lastModifiedBy>Čech Martin</cp:lastModifiedBy>
  <cp:revision>22</cp:revision>
  <cp:lastPrinted>2022-11-11T07:36:00Z</cp:lastPrinted>
  <dcterms:created xsi:type="dcterms:W3CDTF">2020-11-06T10:18:00Z</dcterms:created>
  <dcterms:modified xsi:type="dcterms:W3CDTF">2022-11-11T07:36:00Z</dcterms:modified>
</cp:coreProperties>
</file>